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none"/>
        </w:rPr>
        <w:t>农工党柳州市委</w:t>
      </w:r>
      <w:r>
        <w:rPr>
          <w:rFonts w:hint="eastAsia" w:ascii="仿宋_GB2312" w:eastAsia="仿宋_GB2312"/>
          <w:b/>
          <w:sz w:val="32"/>
          <w:szCs w:val="32"/>
        </w:rPr>
        <w:t>2017年部门决算报表</w:t>
      </w:r>
    </w:p>
    <w:p>
      <w:pPr>
        <w:jc w:val="center"/>
        <w:rPr>
          <w:rFonts w:hint="eastAsia"/>
        </w:rPr>
      </w:pPr>
    </w:p>
    <w:p>
      <w:pPr>
        <w:rPr>
          <w:rFonts w:hint="eastAsia"/>
        </w:rPr>
      </w:pPr>
    </w:p>
    <w:tbl>
      <w:tblPr>
        <w:tblStyle w:val="6"/>
        <w:tblW w:w="8720" w:type="dxa"/>
        <w:jc w:val="center"/>
        <w:tblInd w:w="0" w:type="dxa"/>
        <w:tblLayout w:type="fixed"/>
        <w:tblCellMar>
          <w:top w:w="0" w:type="dxa"/>
          <w:left w:w="108" w:type="dxa"/>
          <w:bottom w:w="0" w:type="dxa"/>
          <w:right w:w="108" w:type="dxa"/>
        </w:tblCellMar>
      </w:tblPr>
      <w:tblGrid>
        <w:gridCol w:w="2895"/>
        <w:gridCol w:w="1085"/>
        <w:gridCol w:w="3123"/>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hint="eastAsia"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c>
      </w:tr>
      <w:tr>
        <w:tblPrEx>
          <w:tblLayout w:type="fixed"/>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color w:val="000000"/>
                <w:kern w:val="0"/>
                <w:sz w:val="22"/>
                <w:szCs w:val="22"/>
              </w:rPr>
            </w:pPr>
            <w:r>
              <w:rPr>
                <w:rFonts w:hint="eastAsia" w:ascii="宋体" w:hAnsi="宋体" w:cs="宋体"/>
                <w:color w:val="000000"/>
                <w:kern w:val="0"/>
                <w:sz w:val="22"/>
                <w:szCs w:val="22"/>
              </w:rPr>
              <w:t>收    入</w:t>
            </w:r>
          </w:p>
        </w:tc>
        <w:tc>
          <w:tcPr>
            <w:tcW w:w="474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    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w:t>
            </w: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164.99</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137.94</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二、社会保障和就业支出</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4.00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三、事业单位经营收入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三、医疗卫生与计划生育支出</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7.10</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四、其他收入</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四、住房保障支出</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10.52</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本年收入合计</w:t>
            </w:r>
          </w:p>
        </w:tc>
        <w:tc>
          <w:tcPr>
            <w:tcW w:w="10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b/>
                <w:color w:val="000000"/>
                <w:kern w:val="0"/>
                <w:sz w:val="22"/>
                <w:szCs w:val="22"/>
              </w:rPr>
            </w:pPr>
            <w:r>
              <w:rPr>
                <w:rFonts w:hint="eastAsia" w:ascii="宋体" w:hAnsi="宋体" w:cs="宋体"/>
                <w:b/>
                <w:color w:val="000000"/>
                <w:kern w:val="0"/>
                <w:sz w:val="22"/>
                <w:szCs w:val="22"/>
              </w:rPr>
              <w:t>　159.56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用事业基金弥补收支差额</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上年结转</w:t>
            </w:r>
          </w:p>
        </w:tc>
        <w:tc>
          <w:tcPr>
            <w:tcW w:w="1085"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0.51</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5.93</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收入总计</w:t>
            </w:r>
          </w:p>
        </w:tc>
        <w:tc>
          <w:tcPr>
            <w:tcW w:w="1085" w:type="dxa"/>
            <w:tcBorders>
              <w:top w:val="nil"/>
              <w:left w:val="nil"/>
              <w:bottom w:val="single" w:color="auto" w:sz="4" w:space="0"/>
              <w:right w:val="single" w:color="auto" w:sz="4" w:space="0"/>
            </w:tcBorders>
            <w:vAlign w:val="center"/>
          </w:tcPr>
          <w:p>
            <w:pPr>
              <w:widowControl/>
              <w:jc w:val="center"/>
              <w:rPr>
                <w:rFonts w:hint="eastAsia" w:ascii="宋体" w:hAnsi="宋体" w:cs="宋体"/>
                <w:b/>
                <w:color w:val="000000"/>
                <w:kern w:val="0"/>
                <w:sz w:val="22"/>
                <w:szCs w:val="22"/>
              </w:rPr>
            </w:pPr>
            <w:r>
              <w:rPr>
                <w:rFonts w:hint="eastAsia" w:ascii="宋体" w:hAnsi="宋体" w:cs="宋体"/>
                <w:b/>
                <w:color w:val="000000"/>
                <w:kern w:val="0"/>
                <w:sz w:val="22"/>
                <w:szCs w:val="22"/>
              </w:rPr>
              <w:t>165.50</w:t>
            </w:r>
          </w:p>
        </w:tc>
        <w:tc>
          <w:tcPr>
            <w:tcW w:w="312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b/>
                <w:color w:val="000000"/>
                <w:kern w:val="0"/>
                <w:sz w:val="22"/>
                <w:szCs w:val="22"/>
              </w:rPr>
            </w:pPr>
            <w:r>
              <w:rPr>
                <w:rFonts w:hint="eastAsia" w:ascii="宋体" w:hAnsi="宋体" w:cs="宋体"/>
                <w:b/>
                <w:color w:val="000000"/>
                <w:kern w:val="0"/>
                <w:sz w:val="22"/>
                <w:szCs w:val="22"/>
              </w:rPr>
              <w:t>　165.50</w:t>
            </w:r>
          </w:p>
        </w:tc>
      </w:tr>
    </w:tbl>
    <w:p>
      <w:pPr>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588" w:header="851" w:footer="992" w:gutter="0"/>
          <w:cols w:space="720" w:num="1"/>
          <w:docGrid w:type="lines" w:linePitch="312" w:charSpace="0"/>
        </w:sectPr>
      </w:pPr>
      <w:r>
        <w:rPr>
          <w:rFonts w:hint="eastAsia"/>
        </w:rPr>
        <w:t>注：本表反映部门本年度的总收支和年末结转结余情况。</w:t>
      </w:r>
    </w:p>
    <w:p>
      <w:pPr>
        <w:jc w:val="center"/>
        <w:rPr>
          <w:rFonts w:hint="eastAsia"/>
        </w:rPr>
      </w:pPr>
      <w:r>
        <w:rPr>
          <w:rFonts w:hint="eastAsia" w:ascii="方正小标宋简体" w:hAnsi="宋体" w:eastAsia="方正小标宋简体" w:cs="宋体"/>
          <w:kern w:val="0"/>
          <w:sz w:val="36"/>
          <w:szCs w:val="36"/>
        </w:rPr>
        <w:t>表二：收入决算表</w:t>
      </w:r>
    </w:p>
    <w:p>
      <w:pPr>
        <w:jc w:val="center"/>
        <w:rPr>
          <w:rFonts w:hint="eastAsia"/>
          <w:sz w:val="22"/>
          <w:szCs w:val="22"/>
        </w:rPr>
      </w:pPr>
      <w:r>
        <w:rPr>
          <w:rFonts w:hint="eastAsia"/>
          <w:sz w:val="22"/>
          <w:szCs w:val="22"/>
        </w:rPr>
        <w:t xml:space="preserve">                                                                                                        单位：万元                     </w:t>
      </w:r>
    </w:p>
    <w:tbl>
      <w:tblPr>
        <w:tblStyle w:val="6"/>
        <w:tblW w:w="13807" w:type="dxa"/>
        <w:jc w:val="center"/>
        <w:tblInd w:w="0" w:type="dxa"/>
        <w:tblLayout w:type="fixed"/>
        <w:tblCellMar>
          <w:top w:w="0" w:type="dxa"/>
          <w:left w:w="108" w:type="dxa"/>
          <w:bottom w:w="0" w:type="dxa"/>
          <w:right w:w="108" w:type="dxa"/>
        </w:tblCellMar>
      </w:tblPr>
      <w:tblGrid>
        <w:gridCol w:w="1222"/>
        <w:gridCol w:w="2489"/>
        <w:gridCol w:w="1189"/>
        <w:gridCol w:w="1540"/>
        <w:gridCol w:w="1540"/>
        <w:gridCol w:w="1192"/>
        <w:gridCol w:w="1350"/>
        <w:gridCol w:w="2115"/>
        <w:gridCol w:w="1170"/>
      </w:tblGrid>
      <w:tr>
        <w:tblPrEx>
          <w:tblLayout w:type="fixed"/>
          <w:tblCellMar>
            <w:top w:w="0" w:type="dxa"/>
            <w:left w:w="108" w:type="dxa"/>
            <w:bottom w:w="0" w:type="dxa"/>
            <w:right w:w="108" w:type="dxa"/>
          </w:tblCellMar>
        </w:tblPrEx>
        <w:trPr>
          <w:trHeight w:val="288" w:hRule="atLeast"/>
          <w:jc w:val="center"/>
        </w:trPr>
        <w:tc>
          <w:tcPr>
            <w:tcW w:w="3711"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支出功能项 目</w:t>
            </w:r>
          </w:p>
        </w:tc>
        <w:tc>
          <w:tcPr>
            <w:tcW w:w="11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上级补助收入</w:t>
            </w:r>
          </w:p>
        </w:tc>
        <w:tc>
          <w:tcPr>
            <w:tcW w:w="11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事业收入</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经营收入</w:t>
            </w:r>
          </w:p>
        </w:tc>
        <w:tc>
          <w:tcPr>
            <w:tcW w:w="21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附属单位上缴收入</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其他收入</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top"/>
          </w:tcPr>
          <w:p>
            <w:pPr>
              <w:widowControl/>
              <w:jc w:val="left"/>
              <w:rPr>
                <w:rFonts w:ascii="宋体" w:hAnsi="宋体" w:cs="Arial"/>
                <w:kern w:val="0"/>
                <w:sz w:val="22"/>
                <w:szCs w:val="22"/>
              </w:rPr>
            </w:pPr>
            <w:r>
              <w:rPr>
                <w:rFonts w:hint="eastAsia" w:ascii="宋体" w:hAnsi="宋体" w:cs="Arial"/>
                <w:kern w:val="0"/>
                <w:sz w:val="22"/>
                <w:szCs w:val="22"/>
              </w:rPr>
              <w:t>科目编码</w:t>
            </w:r>
          </w:p>
        </w:tc>
        <w:tc>
          <w:tcPr>
            <w:tcW w:w="248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71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b/>
                <w:bCs/>
                <w:kern w:val="0"/>
                <w:sz w:val="22"/>
                <w:szCs w:val="22"/>
              </w:rPr>
              <w:t>栏次</w:t>
            </w:r>
          </w:p>
        </w:tc>
        <w:tc>
          <w:tcPr>
            <w:tcW w:w="118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2</w:t>
            </w:r>
          </w:p>
        </w:tc>
        <w:tc>
          <w:tcPr>
            <w:tcW w:w="154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3</w:t>
            </w:r>
          </w:p>
        </w:tc>
        <w:tc>
          <w:tcPr>
            <w:tcW w:w="119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350" w:type="dxa"/>
            <w:tcBorders>
              <w:top w:val="nil"/>
              <w:left w:val="nil"/>
              <w:bottom w:val="single" w:color="auto" w:sz="4" w:space="0"/>
              <w:right w:val="single" w:color="auto" w:sz="4" w:space="0"/>
            </w:tcBorders>
            <w:vAlign w:val="top"/>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5</w:t>
            </w:r>
          </w:p>
        </w:tc>
        <w:tc>
          <w:tcPr>
            <w:tcW w:w="2115" w:type="dxa"/>
            <w:tcBorders>
              <w:top w:val="nil"/>
              <w:left w:val="nil"/>
              <w:bottom w:val="single" w:color="auto" w:sz="4" w:space="0"/>
              <w:right w:val="single" w:color="auto" w:sz="4" w:space="0"/>
            </w:tcBorders>
            <w:vAlign w:val="top"/>
          </w:tcPr>
          <w:p>
            <w:pPr>
              <w:widowControl/>
              <w:ind w:firstLine="660" w:firstLineChars="300"/>
              <w:rPr>
                <w:rFonts w:ascii="宋体" w:hAnsi="宋体" w:cs="Arial"/>
                <w:color w:val="000000"/>
                <w:kern w:val="0"/>
                <w:sz w:val="22"/>
                <w:szCs w:val="22"/>
              </w:rPr>
            </w:pPr>
            <w:r>
              <w:rPr>
                <w:rFonts w:hint="eastAsia" w:ascii="宋体" w:hAnsi="宋体" w:cs="Arial"/>
                <w:kern w:val="0"/>
                <w:sz w:val="22"/>
                <w:szCs w:val="22"/>
              </w:rPr>
              <w:t>6</w:t>
            </w:r>
          </w:p>
        </w:tc>
        <w:tc>
          <w:tcPr>
            <w:tcW w:w="117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7</w:t>
            </w:r>
          </w:p>
        </w:tc>
      </w:tr>
      <w:tr>
        <w:tblPrEx>
          <w:tblLayout w:type="fixed"/>
          <w:tblCellMar>
            <w:top w:w="0" w:type="dxa"/>
            <w:left w:w="108" w:type="dxa"/>
            <w:bottom w:w="0" w:type="dxa"/>
            <w:right w:w="108" w:type="dxa"/>
          </w:tblCellMar>
        </w:tblPrEx>
        <w:trPr>
          <w:trHeight w:val="288" w:hRule="atLeast"/>
          <w:jc w:val="center"/>
        </w:trPr>
        <w:tc>
          <w:tcPr>
            <w:tcW w:w="371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189" w:type="dxa"/>
            <w:tcBorders>
              <w:top w:val="nil"/>
              <w:left w:val="nil"/>
              <w:bottom w:val="single" w:color="auto" w:sz="4" w:space="0"/>
              <w:right w:val="single" w:color="auto" w:sz="4" w:space="0"/>
            </w:tcBorders>
            <w:vAlign w:val="top"/>
          </w:tcPr>
          <w:p>
            <w:pPr>
              <w:widowControl/>
              <w:ind w:firstLine="440" w:firstLineChars="200"/>
              <w:jc w:val="right"/>
              <w:rPr>
                <w:rFonts w:hint="eastAsia" w:ascii="宋体" w:hAnsi="宋体" w:cs="Arial"/>
                <w:color w:val="000000"/>
                <w:kern w:val="0"/>
                <w:sz w:val="22"/>
                <w:szCs w:val="22"/>
              </w:rPr>
            </w:pPr>
            <w:r>
              <w:rPr>
                <w:rFonts w:hint="eastAsia" w:ascii="宋体" w:hAnsi="宋体" w:cs="Arial"/>
                <w:color w:val="000000"/>
                <w:kern w:val="0"/>
                <w:sz w:val="22"/>
                <w:szCs w:val="22"/>
              </w:rPr>
              <w:t>　164.99</w:t>
            </w:r>
          </w:p>
        </w:tc>
        <w:tc>
          <w:tcPr>
            <w:tcW w:w="1540"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5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70"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一般公共服务支出</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142.72</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142.72</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429"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民主党派及工商联事务</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142.72</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142.72</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2012801</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 xml:space="preserve">  行政运行</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111.64</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111.64</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2012804</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 xml:space="preserve">  参政议政</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31.07</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31.07</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208</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社会保障和就业支出</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20805</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行政事业单位离退休</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2080501</w:t>
            </w:r>
          </w:p>
        </w:tc>
        <w:tc>
          <w:tcPr>
            <w:tcW w:w="2489"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 xml:space="preserve">  归口管理的行政单位离退休</w:t>
            </w:r>
          </w:p>
        </w:tc>
        <w:tc>
          <w:tcPr>
            <w:tcW w:w="1189"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54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210</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医疗卫生与计划生育支出</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7.10</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7.10</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21011</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行政事业单位医疗</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7.10</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7.10</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2101101</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行政单位医疗</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7.10</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7.10</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住房保障支出</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11.17</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11.17</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22102</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住房改革支出</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11.17</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11.17</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2210201</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住房公积金</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8.81</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8.81</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2210203</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购房补贴</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2.36</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2.36</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0.00</w:t>
            </w:r>
          </w:p>
        </w:tc>
      </w:tr>
    </w:tbl>
    <w:p>
      <w:pPr>
        <w:rPr>
          <w:rFonts w:hint="eastAsia"/>
        </w:rPr>
      </w:pPr>
    </w:p>
    <w:p>
      <w:pPr>
        <w:rPr>
          <w:rFonts w:hint="eastAsia"/>
        </w:rPr>
      </w:pPr>
      <w:r>
        <w:rPr>
          <w:rFonts w:hint="eastAsia"/>
        </w:rPr>
        <w:t>注：本表反映部门本年度取得的各项收入情况。</w:t>
      </w:r>
    </w:p>
    <w:p>
      <w:pPr>
        <w:rPr>
          <w:rFonts w:hint="eastAsia"/>
        </w:rPr>
      </w:pPr>
    </w:p>
    <w:p>
      <w:pPr>
        <w:rPr>
          <w:rFonts w:hint="eastAsia"/>
        </w:rPr>
      </w:pPr>
    </w:p>
    <w:p>
      <w:pPr>
        <w:jc w:val="center"/>
        <w:rPr>
          <w:rFonts w:hint="eastAsia"/>
        </w:rPr>
      </w:pPr>
      <w:r>
        <w:rPr>
          <w:rFonts w:hint="eastAsia" w:ascii="方正小标宋简体" w:hAnsi="宋体" w:eastAsia="方正小标宋简体" w:cs="宋体"/>
          <w:kern w:val="0"/>
          <w:sz w:val="36"/>
          <w:szCs w:val="36"/>
        </w:rPr>
        <w:t>表三：支出决算表</w:t>
      </w:r>
    </w:p>
    <w:p>
      <w:pPr>
        <w:jc w:val="center"/>
        <w:rPr>
          <w:rFonts w:hint="eastAsia"/>
        </w:rPr>
      </w:pPr>
      <w:r>
        <w:rPr>
          <w:rFonts w:hint="eastAsia"/>
          <w:sz w:val="22"/>
          <w:szCs w:val="22"/>
        </w:rPr>
        <w:t xml:space="preserve">                                                                                                     单位：万元</w:t>
      </w:r>
    </w:p>
    <w:tbl>
      <w:tblPr>
        <w:tblStyle w:val="6"/>
        <w:tblW w:w="13672" w:type="dxa"/>
        <w:jc w:val="center"/>
        <w:tblInd w:w="0" w:type="dxa"/>
        <w:tblLayout w:type="fixed"/>
        <w:tblCellMar>
          <w:top w:w="0" w:type="dxa"/>
          <w:left w:w="108" w:type="dxa"/>
          <w:bottom w:w="0" w:type="dxa"/>
          <w:right w:w="108" w:type="dxa"/>
        </w:tblCellMar>
      </w:tblPr>
      <w:tblGrid>
        <w:gridCol w:w="1180"/>
        <w:gridCol w:w="2412"/>
        <w:gridCol w:w="1385"/>
        <w:gridCol w:w="1842"/>
        <w:gridCol w:w="1701"/>
        <w:gridCol w:w="1582"/>
        <w:gridCol w:w="1515"/>
        <w:gridCol w:w="2055"/>
      </w:tblGrid>
      <w:tr>
        <w:tblPrEx>
          <w:tblLayout w:type="fixed"/>
          <w:tblCellMar>
            <w:top w:w="0" w:type="dxa"/>
            <w:left w:w="108" w:type="dxa"/>
            <w:bottom w:w="0" w:type="dxa"/>
            <w:right w:w="108" w:type="dxa"/>
          </w:tblCellMar>
        </w:tblPrEx>
        <w:trPr>
          <w:trHeight w:val="288" w:hRule="atLeast"/>
          <w:jc w:val="center"/>
        </w:trPr>
        <w:tc>
          <w:tcPr>
            <w:tcW w:w="3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支出功能项 目</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本年支出合计</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基本支出</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项目支出</w:t>
            </w:r>
          </w:p>
        </w:tc>
        <w:tc>
          <w:tcPr>
            <w:tcW w:w="15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上缴上级支出</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经营支出</w:t>
            </w:r>
          </w:p>
        </w:tc>
        <w:tc>
          <w:tcPr>
            <w:tcW w:w="20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对附属单位补助支出</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科目编码</w:t>
            </w:r>
          </w:p>
        </w:tc>
        <w:tc>
          <w:tcPr>
            <w:tcW w:w="241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科目名称</w:t>
            </w: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3592" w:type="dxa"/>
            <w:gridSpan w:val="2"/>
            <w:tcBorders>
              <w:top w:val="single" w:color="auto" w:sz="4" w:space="0"/>
              <w:left w:val="single" w:color="auto" w:sz="4" w:space="0"/>
              <w:bottom w:val="single" w:color="auto" w:sz="4" w:space="0"/>
              <w:right w:val="single" w:color="auto" w:sz="4" w:space="0"/>
            </w:tcBorders>
            <w:vAlign w:val="top"/>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栏次</w:t>
            </w:r>
          </w:p>
        </w:tc>
        <w:tc>
          <w:tcPr>
            <w:tcW w:w="13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1</w:t>
            </w:r>
          </w:p>
        </w:tc>
        <w:tc>
          <w:tcPr>
            <w:tcW w:w="1842"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2</w:t>
            </w:r>
          </w:p>
        </w:tc>
        <w:tc>
          <w:tcPr>
            <w:tcW w:w="1701"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3</w:t>
            </w:r>
          </w:p>
        </w:tc>
        <w:tc>
          <w:tcPr>
            <w:tcW w:w="158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4</w:t>
            </w:r>
          </w:p>
        </w:tc>
        <w:tc>
          <w:tcPr>
            <w:tcW w:w="1515"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5</w:t>
            </w:r>
          </w:p>
        </w:tc>
        <w:tc>
          <w:tcPr>
            <w:tcW w:w="2055"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6</w:t>
            </w:r>
          </w:p>
        </w:tc>
      </w:tr>
      <w:tr>
        <w:tblPrEx>
          <w:tblLayout w:type="fixed"/>
          <w:tblCellMar>
            <w:top w:w="0" w:type="dxa"/>
            <w:left w:w="108" w:type="dxa"/>
            <w:bottom w:w="0" w:type="dxa"/>
            <w:right w:w="108" w:type="dxa"/>
          </w:tblCellMar>
        </w:tblPrEx>
        <w:trPr>
          <w:trHeight w:val="288" w:hRule="atLeast"/>
          <w:jc w:val="center"/>
        </w:trPr>
        <w:tc>
          <w:tcPr>
            <w:tcW w:w="3592" w:type="dxa"/>
            <w:gridSpan w:val="2"/>
            <w:tcBorders>
              <w:top w:val="single" w:color="auto" w:sz="4" w:space="0"/>
              <w:left w:val="single" w:color="auto" w:sz="4" w:space="0"/>
              <w:bottom w:val="single" w:color="auto" w:sz="4" w:space="0"/>
              <w:right w:val="single" w:color="auto" w:sz="4" w:space="0"/>
            </w:tcBorders>
            <w:vAlign w:val="top"/>
          </w:tcPr>
          <w:p>
            <w:pPr>
              <w:widowControl/>
              <w:ind w:firstLine="1980" w:firstLineChars="900"/>
              <w:jc w:val="left"/>
              <w:rPr>
                <w:rFonts w:ascii="宋体" w:hAnsi="宋体" w:cs="Arial"/>
                <w:color w:val="000000"/>
                <w:kern w:val="0"/>
                <w:sz w:val="22"/>
                <w:szCs w:val="22"/>
              </w:rPr>
            </w:pPr>
            <w:r>
              <w:rPr>
                <w:rFonts w:hint="eastAsia" w:ascii="宋体" w:hAnsi="宋体" w:cs="Arial"/>
                <w:kern w:val="0"/>
                <w:sz w:val="22"/>
                <w:szCs w:val="22"/>
              </w:rPr>
              <w:t>合计</w:t>
            </w:r>
          </w:p>
        </w:tc>
        <w:tc>
          <w:tcPr>
            <w:tcW w:w="1385" w:type="dxa"/>
            <w:tcBorders>
              <w:top w:val="nil"/>
              <w:left w:val="nil"/>
              <w:bottom w:val="single" w:color="auto" w:sz="4" w:space="0"/>
              <w:right w:val="single" w:color="auto" w:sz="4" w:space="0"/>
            </w:tcBorders>
            <w:vAlign w:val="top"/>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159.56</w:t>
            </w:r>
          </w:p>
        </w:tc>
        <w:tc>
          <w:tcPr>
            <w:tcW w:w="1842"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82"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15"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5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一般公共服务支出</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137.94</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111.71</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26.23</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民主党派及工商联事务</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137.94</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111.71</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26.23</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2012801</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 xml:space="preserve">  行政运行</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111.71</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111.71</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2012804</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 xml:space="preserve">  参政议政</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26.23</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26.23</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208</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社会保障和就业支出</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20805</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行政事业单位离退休</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2080501</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 xml:space="preserve">  归口管理的行政单位离退休</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4.00</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210</w:t>
            </w:r>
          </w:p>
        </w:tc>
        <w:tc>
          <w:tcPr>
            <w:tcW w:w="2412" w:type="dxa"/>
            <w:tcBorders>
              <w:top w:val="nil"/>
              <w:left w:val="nil"/>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医疗卫生与计划生育支出</w:t>
            </w:r>
          </w:p>
        </w:tc>
        <w:tc>
          <w:tcPr>
            <w:tcW w:w="138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7.10</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7.10</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nil"/>
              <w:left w:val="nil"/>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21011</w:t>
            </w:r>
          </w:p>
        </w:tc>
        <w:tc>
          <w:tcPr>
            <w:tcW w:w="241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行政事业单位医疗</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7.10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7.10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2101101</w:t>
            </w:r>
          </w:p>
        </w:tc>
        <w:tc>
          <w:tcPr>
            <w:tcW w:w="241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 xml:space="preserve">  行政单位医疗</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7.10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7.10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221</w:t>
            </w:r>
          </w:p>
        </w:tc>
        <w:tc>
          <w:tcPr>
            <w:tcW w:w="241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住房保障支出</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10.52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10.52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22102</w:t>
            </w:r>
          </w:p>
        </w:tc>
        <w:tc>
          <w:tcPr>
            <w:tcW w:w="241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住房改革支出</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10.52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10.52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2210201</w:t>
            </w:r>
          </w:p>
        </w:tc>
        <w:tc>
          <w:tcPr>
            <w:tcW w:w="241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 xml:space="preserve">  住房公积金</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8.16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8.16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2210203</w:t>
            </w:r>
          </w:p>
        </w:tc>
        <w:tc>
          <w:tcPr>
            <w:tcW w:w="241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 xml:space="preserve">  购房补贴</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2.36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2.36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8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Arial"/>
                <w:color w:val="000000"/>
                <w:kern w:val="0"/>
                <w:sz w:val="22"/>
                <w:szCs w:val="22"/>
              </w:rPr>
            </w:pPr>
            <w:r>
              <w:rPr>
                <w:rFonts w:hint="eastAsia" w:ascii="宋体" w:hAnsi="宋体" w:cs="宋体"/>
                <w:color w:val="000000"/>
                <w:kern w:val="0"/>
                <w:sz w:val="22"/>
                <w:szCs w:val="22"/>
                <w:lang w:bidi="ar"/>
              </w:rPr>
              <w:t>0.00</w:t>
            </w:r>
          </w:p>
        </w:tc>
      </w:tr>
    </w:tbl>
    <w:p>
      <w:pPr>
        <w:rPr>
          <w:rFonts w:hint="eastAsia"/>
        </w:rPr>
      </w:pPr>
    </w:p>
    <w:p>
      <w:pPr>
        <w:rPr>
          <w:rFonts w:hint="eastAsia"/>
        </w:rPr>
      </w:pPr>
      <w:r>
        <w:rPr>
          <w:rFonts w:hint="eastAsia"/>
        </w:rPr>
        <w:t>注：本表反映部门本年度各项支出情况。</w:t>
      </w:r>
    </w:p>
    <w:p>
      <w:pPr>
        <w:jc w:val="center"/>
        <w:rPr>
          <w:rFonts w:hint="eastAsia"/>
        </w:rPr>
      </w:pPr>
      <w:r>
        <w:rPr>
          <w:rFonts w:hint="eastAsia" w:ascii="方正小标宋简体" w:hAnsi="宋体" w:eastAsia="方正小标宋简体" w:cs="宋体"/>
          <w:kern w:val="0"/>
          <w:sz w:val="36"/>
          <w:szCs w:val="36"/>
        </w:rPr>
        <w:t>表四：财政拨款收入支出决算总表</w:t>
      </w:r>
    </w:p>
    <w:p>
      <w:pPr>
        <w:jc w:val="right"/>
        <w:rPr>
          <w:rFonts w:hint="eastAsia"/>
          <w:sz w:val="22"/>
          <w:szCs w:val="22"/>
        </w:rPr>
      </w:pPr>
      <w:r>
        <w:rPr>
          <w:rFonts w:hint="eastAsia"/>
          <w:sz w:val="22"/>
          <w:szCs w:val="22"/>
        </w:rPr>
        <w:t>单位：万元</w:t>
      </w:r>
    </w:p>
    <w:tbl>
      <w:tblPr>
        <w:tblStyle w:val="6"/>
        <w:tblW w:w="13765" w:type="dxa"/>
        <w:jc w:val="center"/>
        <w:tblInd w:w="0" w:type="dxa"/>
        <w:tblLayout w:type="fixed"/>
        <w:tblCellMar>
          <w:top w:w="0" w:type="dxa"/>
          <w:left w:w="108" w:type="dxa"/>
          <w:bottom w:w="0" w:type="dxa"/>
          <w:right w:w="108" w:type="dxa"/>
        </w:tblCellMar>
      </w:tblPr>
      <w:tblGrid>
        <w:gridCol w:w="4230"/>
        <w:gridCol w:w="585"/>
        <w:gridCol w:w="1165"/>
        <w:gridCol w:w="3372"/>
        <w:gridCol w:w="681"/>
        <w:gridCol w:w="1267"/>
        <w:gridCol w:w="1149"/>
        <w:gridCol w:w="1316"/>
      </w:tblGrid>
      <w:tr>
        <w:tblPrEx>
          <w:tblLayout w:type="fixed"/>
          <w:tblCellMar>
            <w:top w:w="0" w:type="dxa"/>
            <w:left w:w="108" w:type="dxa"/>
            <w:bottom w:w="0" w:type="dxa"/>
            <w:right w:w="108" w:type="dxa"/>
          </w:tblCellMar>
        </w:tblPrEx>
        <w:trPr>
          <w:trHeight w:val="300" w:hRule="atLeast"/>
          <w:jc w:val="center"/>
        </w:trPr>
        <w:tc>
          <w:tcPr>
            <w:tcW w:w="5980" w:type="dxa"/>
            <w:gridSpan w:val="3"/>
            <w:tcBorders>
              <w:top w:val="single" w:color="auto" w:sz="4" w:space="0"/>
              <w:left w:val="single" w:color="auto" w:sz="4" w:space="0"/>
              <w:bottom w:val="single" w:color="auto" w:sz="4" w:space="0"/>
              <w:right w:val="single" w:color="000000"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收 入</w:t>
            </w:r>
          </w:p>
        </w:tc>
        <w:tc>
          <w:tcPr>
            <w:tcW w:w="7785" w:type="dxa"/>
            <w:gridSpan w:val="5"/>
            <w:tcBorders>
              <w:top w:val="single" w:color="auto" w:sz="4" w:space="0"/>
              <w:left w:val="nil"/>
              <w:bottom w:val="single" w:color="auto" w:sz="4" w:space="0"/>
              <w:right w:val="single" w:color="000000"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支 出</w:t>
            </w:r>
          </w:p>
        </w:tc>
      </w:tr>
      <w:tr>
        <w:tblPrEx>
          <w:tblLayout w:type="fixed"/>
          <w:tblCellMar>
            <w:top w:w="0" w:type="dxa"/>
            <w:left w:w="108" w:type="dxa"/>
            <w:bottom w:w="0" w:type="dxa"/>
            <w:right w:w="108" w:type="dxa"/>
          </w:tblCellMar>
        </w:tblPrEx>
        <w:trPr>
          <w:trHeight w:val="732" w:hRule="atLeast"/>
          <w:jc w:val="center"/>
        </w:trPr>
        <w:tc>
          <w:tcPr>
            <w:tcW w:w="423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585"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16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金额</w:t>
            </w:r>
          </w:p>
        </w:tc>
        <w:tc>
          <w:tcPr>
            <w:tcW w:w="337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项 目</w:t>
            </w:r>
          </w:p>
        </w:tc>
        <w:tc>
          <w:tcPr>
            <w:tcW w:w="681"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行次</w:t>
            </w:r>
          </w:p>
        </w:tc>
        <w:tc>
          <w:tcPr>
            <w:tcW w:w="126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149"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一般公共预算财政拨款</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栏 次</w:t>
            </w:r>
          </w:p>
        </w:tc>
        <w:tc>
          <w:tcPr>
            <w:tcW w:w="58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6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372"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栏 次</w:t>
            </w:r>
          </w:p>
        </w:tc>
        <w:tc>
          <w:tcPr>
            <w:tcW w:w="681"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67"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49"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一、一般公共预算财政拨款</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65"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164.99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一、一般公共服务支出</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18</w:t>
            </w:r>
          </w:p>
        </w:tc>
        <w:tc>
          <w:tcPr>
            <w:tcW w:w="126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137.94　</w:t>
            </w:r>
          </w:p>
        </w:tc>
        <w:tc>
          <w:tcPr>
            <w:tcW w:w="1149"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137.94</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二、政府性基金预算财政拨款</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65"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二、社会保障和就业支出</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19</w:t>
            </w:r>
          </w:p>
        </w:tc>
        <w:tc>
          <w:tcPr>
            <w:tcW w:w="126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4.00　</w:t>
            </w:r>
          </w:p>
        </w:tc>
        <w:tc>
          <w:tcPr>
            <w:tcW w:w="1149"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4.00</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kern w:val="0"/>
                <w:sz w:val="22"/>
                <w:szCs w:val="22"/>
              </w:rPr>
              <w:t>三、医疗卫生与计划生育支出</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w:t>
            </w:r>
          </w:p>
        </w:tc>
        <w:tc>
          <w:tcPr>
            <w:tcW w:w="126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7.10</w:t>
            </w:r>
          </w:p>
        </w:tc>
        <w:tc>
          <w:tcPr>
            <w:tcW w:w="1149"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7.10</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kern w:val="0"/>
                <w:sz w:val="22"/>
                <w:szCs w:val="22"/>
              </w:rPr>
              <w:t>四、住房保障支出</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w:t>
            </w:r>
          </w:p>
        </w:tc>
        <w:tc>
          <w:tcPr>
            <w:tcW w:w="1267"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10.52　</w:t>
            </w:r>
          </w:p>
        </w:tc>
        <w:tc>
          <w:tcPr>
            <w:tcW w:w="1149" w:type="dxa"/>
            <w:tcBorders>
              <w:top w:val="nil"/>
              <w:left w:val="nil"/>
              <w:bottom w:val="single" w:color="auto" w:sz="4" w:space="0"/>
              <w:right w:val="single" w:color="auto" w:sz="4" w:space="0"/>
            </w:tcBorders>
            <w:vAlign w:val="top"/>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10.52</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五、文化体育与传媒支出</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23</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24</w:t>
            </w:r>
          </w:p>
        </w:tc>
        <w:tc>
          <w:tcPr>
            <w:tcW w:w="1267" w:type="dxa"/>
            <w:tcBorders>
              <w:top w:val="nil"/>
              <w:left w:val="nil"/>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25</w:t>
            </w:r>
          </w:p>
        </w:tc>
        <w:tc>
          <w:tcPr>
            <w:tcW w:w="1267" w:type="dxa"/>
            <w:tcBorders>
              <w:top w:val="nil"/>
              <w:left w:val="nil"/>
              <w:bottom w:val="single" w:color="auto" w:sz="4" w:space="0"/>
              <w:right w:val="single" w:color="auto" w:sz="4" w:space="0"/>
            </w:tcBorders>
            <w:vAlign w:val="top"/>
          </w:tcPr>
          <w:p>
            <w:pPr>
              <w:widowControl/>
              <w:ind w:firstLine="660" w:firstLineChars="3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9"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28</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color w:val="000000"/>
                <w:kern w:val="0"/>
                <w:sz w:val="22"/>
                <w:szCs w:val="22"/>
              </w:rPr>
            </w:pPr>
            <w:r>
              <w:rPr>
                <w:rFonts w:hint="eastAsia" w:ascii="宋体" w:hAnsi="宋体" w:cs="Arial"/>
                <w:kern w:val="0"/>
                <w:sz w:val="22"/>
                <w:szCs w:val="22"/>
              </w:rPr>
              <w:t>本年收入合计</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165"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　164.99</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29</w:t>
            </w:r>
          </w:p>
        </w:tc>
        <w:tc>
          <w:tcPr>
            <w:tcW w:w="3732" w:type="dxa"/>
            <w:gridSpan w:val="3"/>
            <w:tcBorders>
              <w:top w:val="single" w:color="auto" w:sz="4" w:space="0"/>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159.56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ind w:firstLine="880" w:firstLineChars="400"/>
              <w:jc w:val="left"/>
              <w:rPr>
                <w:rFonts w:ascii="宋体" w:hAnsi="宋体" w:cs="Arial"/>
                <w:color w:val="000000"/>
                <w:kern w:val="0"/>
                <w:sz w:val="22"/>
                <w:szCs w:val="22"/>
              </w:rPr>
            </w:pPr>
            <w:r>
              <w:rPr>
                <w:rFonts w:hint="eastAsia" w:ascii="宋体" w:hAnsi="宋体" w:cs="Arial"/>
                <w:kern w:val="0"/>
                <w:sz w:val="22"/>
                <w:szCs w:val="22"/>
              </w:rPr>
              <w:t>年初财政拨款结转和结余</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165"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0.47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kern w:val="0"/>
                <w:sz w:val="22"/>
                <w:szCs w:val="22"/>
              </w:rPr>
              <w:t>年末结转和结余</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w:t>
            </w:r>
          </w:p>
        </w:tc>
        <w:tc>
          <w:tcPr>
            <w:tcW w:w="3732" w:type="dxa"/>
            <w:gridSpan w:val="3"/>
            <w:tcBorders>
              <w:top w:val="single" w:color="auto" w:sz="4" w:space="0"/>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5.90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kern w:val="0"/>
                <w:sz w:val="22"/>
                <w:szCs w:val="22"/>
              </w:rPr>
            </w:pPr>
            <w:r>
              <w:rPr>
                <w:rFonts w:hint="eastAsia" w:ascii="宋体" w:hAnsi="宋体" w:cs="Arial"/>
                <w:kern w:val="0"/>
                <w:sz w:val="22"/>
                <w:szCs w:val="22"/>
              </w:rPr>
              <w:t>一般公共预算财政拨款</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165" w:type="dxa"/>
            <w:tcBorders>
              <w:top w:val="nil"/>
              <w:left w:val="nil"/>
              <w:bottom w:val="single" w:color="auto" w:sz="4" w:space="0"/>
              <w:right w:val="single" w:color="auto" w:sz="4" w:space="0"/>
            </w:tcBorders>
            <w:vAlign w:val="top"/>
          </w:tcPr>
          <w:p>
            <w:pPr>
              <w:widowControl/>
              <w:ind w:firstLine="440" w:firstLineChars="200"/>
              <w:jc w:val="left"/>
              <w:rPr>
                <w:rFonts w:hint="eastAsia" w:ascii="宋体" w:hAnsi="宋体" w:cs="Arial"/>
                <w:color w:val="000000"/>
                <w:kern w:val="0"/>
                <w:sz w:val="22"/>
                <w:szCs w:val="22"/>
              </w:rPr>
            </w:pPr>
            <w:r>
              <w:rPr>
                <w:rFonts w:hint="eastAsia" w:ascii="宋体" w:hAnsi="宋体" w:cs="Arial"/>
                <w:color w:val="000000"/>
                <w:kern w:val="0"/>
                <w:sz w:val="22"/>
                <w:szCs w:val="22"/>
              </w:rPr>
              <w:t>　0.47</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ind w:firstLine="1540" w:firstLineChars="700"/>
              <w:jc w:val="left"/>
              <w:rPr>
                <w:rFonts w:ascii="宋体" w:hAnsi="宋体" w:cs="Arial"/>
                <w:color w:val="000000"/>
                <w:kern w:val="0"/>
                <w:sz w:val="22"/>
                <w:szCs w:val="22"/>
              </w:rPr>
            </w:pPr>
            <w:r>
              <w:rPr>
                <w:rFonts w:hint="eastAsia" w:ascii="宋体" w:hAnsi="宋体" w:cs="Arial"/>
                <w:kern w:val="0"/>
                <w:sz w:val="22"/>
                <w:szCs w:val="22"/>
              </w:rPr>
              <w:t>政府性基金预算财政拨款</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165" w:type="dxa"/>
            <w:tcBorders>
              <w:top w:val="nil"/>
              <w:left w:val="nil"/>
              <w:bottom w:val="single" w:color="auto" w:sz="4" w:space="0"/>
              <w:right w:val="single" w:color="auto" w:sz="4" w:space="0"/>
            </w:tcBorders>
            <w:vAlign w:val="top"/>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32</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33</w:t>
            </w:r>
          </w:p>
        </w:tc>
        <w:tc>
          <w:tcPr>
            <w:tcW w:w="3732" w:type="dxa"/>
            <w:gridSpan w:val="3"/>
            <w:tcBorders>
              <w:top w:val="single" w:color="auto" w:sz="4" w:space="0"/>
              <w:left w:val="nil"/>
              <w:bottom w:val="single" w:color="auto" w:sz="4" w:space="0"/>
              <w:right w:val="single" w:color="auto" w:sz="4" w:space="0"/>
            </w:tcBorders>
            <w:vAlign w:val="top"/>
          </w:tcPr>
          <w:p>
            <w:pPr>
              <w:widowControl/>
              <w:ind w:firstLine="2420" w:firstLineChars="1100"/>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4230"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585"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165" w:type="dxa"/>
            <w:tcBorders>
              <w:top w:val="nil"/>
              <w:left w:val="nil"/>
              <w:bottom w:val="single" w:color="auto" w:sz="4" w:space="0"/>
              <w:right w:val="single" w:color="auto" w:sz="4" w:space="0"/>
            </w:tcBorders>
            <w:vAlign w:val="top"/>
          </w:tcPr>
          <w:p>
            <w:pPr>
              <w:widowControl/>
              <w:ind w:firstLine="220" w:firstLineChars="100"/>
              <w:jc w:val="left"/>
              <w:rPr>
                <w:rFonts w:hint="eastAsia" w:ascii="宋体" w:hAnsi="宋体" w:cs="Arial"/>
                <w:color w:val="000000"/>
                <w:kern w:val="0"/>
                <w:sz w:val="22"/>
                <w:szCs w:val="22"/>
              </w:rPr>
            </w:pPr>
            <w:r>
              <w:rPr>
                <w:rFonts w:hint="eastAsia" w:ascii="宋体" w:hAnsi="宋体" w:cs="Arial"/>
                <w:color w:val="000000"/>
                <w:kern w:val="0"/>
                <w:sz w:val="22"/>
                <w:szCs w:val="22"/>
              </w:rPr>
              <w:t>　165.46</w:t>
            </w:r>
          </w:p>
        </w:tc>
        <w:tc>
          <w:tcPr>
            <w:tcW w:w="337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732" w:type="dxa"/>
            <w:gridSpan w:val="3"/>
            <w:tcBorders>
              <w:top w:val="single" w:color="auto" w:sz="4" w:space="0"/>
              <w:left w:val="nil"/>
              <w:bottom w:val="single" w:color="auto" w:sz="4" w:space="0"/>
              <w:right w:val="single" w:color="auto" w:sz="4" w:space="0"/>
            </w:tcBorders>
            <w:vAlign w:val="top"/>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165.46　</w:t>
            </w:r>
          </w:p>
        </w:tc>
      </w:tr>
    </w:tbl>
    <w:p>
      <w:pPr>
        <w:rPr>
          <w:rFonts w:hint="eastAsia"/>
        </w:rPr>
      </w:pPr>
      <w:r>
        <w:rPr>
          <w:rFonts w:hint="eastAsia"/>
        </w:rPr>
        <w:t>注：本表反映部门本年度一般公共预算财政拨款和政府性基金预算财政拨款的总收支和年末结转结余情况。</w:t>
      </w:r>
    </w:p>
    <w:p>
      <w:pPr>
        <w:rPr>
          <w:rFonts w:hint="eastAsia"/>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right"/>
        <w:rPr>
          <w:rFonts w:hint="eastAsia"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tbl>
      <w:tblPr>
        <w:tblStyle w:val="6"/>
        <w:tblW w:w="13479" w:type="dxa"/>
        <w:jc w:val="center"/>
        <w:tblInd w:w="0" w:type="dxa"/>
        <w:tblLayout w:type="fixed"/>
        <w:tblCellMar>
          <w:top w:w="0" w:type="dxa"/>
          <w:left w:w="108" w:type="dxa"/>
          <w:bottom w:w="0" w:type="dxa"/>
          <w:right w:w="108" w:type="dxa"/>
        </w:tblCellMar>
      </w:tblPr>
      <w:tblGrid>
        <w:gridCol w:w="1283"/>
        <w:gridCol w:w="3269"/>
        <w:gridCol w:w="2631"/>
        <w:gridCol w:w="2900"/>
        <w:gridCol w:w="3396"/>
      </w:tblGrid>
      <w:tr>
        <w:tblPrEx>
          <w:tblLayout w:type="fixed"/>
          <w:tblCellMar>
            <w:top w:w="0" w:type="dxa"/>
            <w:left w:w="108" w:type="dxa"/>
            <w:bottom w:w="0" w:type="dxa"/>
            <w:right w:w="108" w:type="dxa"/>
          </w:tblCellMar>
        </w:tblPrEx>
        <w:trPr>
          <w:trHeight w:val="300" w:hRule="atLeast"/>
          <w:jc w:val="center"/>
        </w:trPr>
        <w:tc>
          <w:tcPr>
            <w:tcW w:w="45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cs="Arial"/>
                <w:kern w:val="0"/>
                <w:sz w:val="22"/>
                <w:szCs w:val="22"/>
              </w:rPr>
              <w:t>支出功能</w:t>
            </w:r>
            <w:r>
              <w:rPr>
                <w:rFonts w:hint="eastAsia" w:ascii="MingLiU" w:hAnsi="MingLiU" w:eastAsia="MingLiU" w:cs="Arial"/>
                <w:kern w:val="0"/>
                <w:sz w:val="22"/>
                <w:szCs w:val="22"/>
              </w:rPr>
              <w:t>项 目</w:t>
            </w:r>
          </w:p>
        </w:tc>
        <w:tc>
          <w:tcPr>
            <w:tcW w:w="26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基本支出</w:t>
            </w:r>
          </w:p>
        </w:tc>
        <w:tc>
          <w:tcPr>
            <w:tcW w:w="3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项目支出</w:t>
            </w:r>
          </w:p>
        </w:tc>
      </w:tr>
      <w:tr>
        <w:tblPrEx>
          <w:tblLayout w:type="fixed"/>
          <w:tblCellMar>
            <w:top w:w="0" w:type="dxa"/>
            <w:left w:w="108" w:type="dxa"/>
            <w:bottom w:w="0" w:type="dxa"/>
            <w:right w:w="108" w:type="dxa"/>
          </w:tblCellMar>
        </w:tblPrEx>
        <w:trPr>
          <w:trHeight w:val="300"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center"/>
              <w:rPr>
                <w:rFonts w:ascii="MingLiU" w:hAnsi="MingLiU" w:eastAsia="MingLiU" w:cs="Arial"/>
                <w:kern w:val="0"/>
                <w:sz w:val="22"/>
                <w:szCs w:val="22"/>
              </w:rPr>
            </w:pPr>
            <w:r>
              <w:rPr>
                <w:rFonts w:hint="eastAsia" w:ascii="MingLiU" w:hAnsi="MingLiU" w:eastAsia="MingLiU" w:cs="Arial"/>
                <w:kern w:val="0"/>
                <w:sz w:val="22"/>
                <w:szCs w:val="22"/>
              </w:rPr>
              <w:t>科目编码</w:t>
            </w:r>
          </w:p>
        </w:tc>
        <w:tc>
          <w:tcPr>
            <w:tcW w:w="3269"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科目名称</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3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4552"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MingLiU" w:hAnsi="MingLiU" w:eastAsia="MingLiU" w:cs="Arial"/>
                <w:b/>
                <w:bCs/>
                <w:kern w:val="0"/>
                <w:sz w:val="18"/>
                <w:szCs w:val="18"/>
              </w:rPr>
              <w:t>栏次</w:t>
            </w:r>
          </w:p>
        </w:tc>
        <w:tc>
          <w:tcPr>
            <w:tcW w:w="2631"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00"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96"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300" w:hRule="atLeast"/>
          <w:jc w:val="center"/>
        </w:trPr>
        <w:tc>
          <w:tcPr>
            <w:tcW w:w="4552"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Arial" w:hAnsi="Arial" w:cs="Arial"/>
                <w:color w:val="000000"/>
                <w:kern w:val="0"/>
                <w:sz w:val="20"/>
                <w:szCs w:val="20"/>
              </w:rPr>
            </w:pPr>
            <w:r>
              <w:rPr>
                <w:rFonts w:hint="eastAsia" w:ascii="MingLiU" w:hAnsi="MingLiU" w:eastAsia="MingLiU" w:cs="Arial"/>
                <w:kern w:val="0"/>
                <w:sz w:val="22"/>
                <w:szCs w:val="22"/>
              </w:rPr>
              <w:t>合计</w:t>
            </w:r>
          </w:p>
        </w:tc>
        <w:tc>
          <w:tcPr>
            <w:tcW w:w="2631" w:type="dxa"/>
            <w:tcBorders>
              <w:top w:val="nil"/>
              <w:left w:val="nil"/>
              <w:bottom w:val="single" w:color="auto" w:sz="4" w:space="0"/>
              <w:right w:val="single" w:color="auto" w:sz="4" w:space="0"/>
            </w:tcBorders>
            <w:vAlign w:val="top"/>
          </w:tcPr>
          <w:p>
            <w:pPr>
              <w:widowControl/>
              <w:rPr>
                <w:rFonts w:ascii="Arial" w:hAnsi="Arial" w:cs="Arial"/>
                <w:color w:val="000000"/>
                <w:kern w:val="0"/>
                <w:sz w:val="20"/>
                <w:szCs w:val="20"/>
              </w:rPr>
            </w:pPr>
            <w:r>
              <w:rPr>
                <w:rFonts w:hint="eastAsia" w:ascii="Arial" w:hAnsi="Arial" w:cs="Arial"/>
                <w:color w:val="000000"/>
                <w:kern w:val="0"/>
                <w:sz w:val="20"/>
                <w:szCs w:val="20"/>
              </w:rPr>
              <w:t>159.56</w:t>
            </w:r>
          </w:p>
        </w:tc>
        <w:tc>
          <w:tcPr>
            <w:tcW w:w="2900"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133.33</w:t>
            </w:r>
          </w:p>
        </w:tc>
        <w:tc>
          <w:tcPr>
            <w:tcW w:w="3396"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26.23</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w:t>
            </w:r>
          </w:p>
        </w:tc>
        <w:tc>
          <w:tcPr>
            <w:tcW w:w="3269"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一般公共服务支出</w:t>
            </w:r>
          </w:p>
        </w:tc>
        <w:tc>
          <w:tcPr>
            <w:tcW w:w="2631" w:type="dxa"/>
            <w:tcBorders>
              <w:top w:val="nil"/>
              <w:left w:val="nil"/>
              <w:bottom w:val="single" w:color="auto" w:sz="4" w:space="0"/>
              <w:right w:val="single" w:color="auto" w:sz="4" w:space="0"/>
            </w:tcBorders>
            <w:vAlign w:val="top"/>
          </w:tcPr>
          <w:p>
            <w:pPr>
              <w:widowControl/>
              <w:rPr>
                <w:rFonts w:ascii="Arial" w:hAnsi="Arial" w:cs="Arial"/>
                <w:color w:val="000000"/>
                <w:kern w:val="0"/>
                <w:sz w:val="20"/>
                <w:szCs w:val="20"/>
              </w:rPr>
            </w:pPr>
            <w:r>
              <w:rPr>
                <w:rFonts w:hint="eastAsia" w:ascii="Arial" w:hAnsi="Arial" w:cs="Arial"/>
                <w:color w:val="000000"/>
                <w:kern w:val="0"/>
                <w:sz w:val="20"/>
                <w:szCs w:val="20"/>
              </w:rPr>
              <w:t>137.94</w:t>
            </w:r>
          </w:p>
        </w:tc>
        <w:tc>
          <w:tcPr>
            <w:tcW w:w="2900"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111.71</w:t>
            </w:r>
          </w:p>
        </w:tc>
        <w:tc>
          <w:tcPr>
            <w:tcW w:w="3396"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26.23</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w:t>
            </w:r>
          </w:p>
        </w:tc>
        <w:tc>
          <w:tcPr>
            <w:tcW w:w="3269"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民主党派及工商联事务</w:t>
            </w:r>
          </w:p>
        </w:tc>
        <w:tc>
          <w:tcPr>
            <w:tcW w:w="2631"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137.94</w:t>
            </w:r>
          </w:p>
        </w:tc>
        <w:tc>
          <w:tcPr>
            <w:tcW w:w="2900"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111.71</w:t>
            </w:r>
          </w:p>
        </w:tc>
        <w:tc>
          <w:tcPr>
            <w:tcW w:w="3396"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26.23</w:t>
            </w:r>
          </w:p>
        </w:tc>
      </w:tr>
      <w:tr>
        <w:tblPrEx>
          <w:tblLayout w:type="fixed"/>
          <w:tblCellMar>
            <w:top w:w="0" w:type="dxa"/>
            <w:left w:w="108" w:type="dxa"/>
            <w:bottom w:w="0" w:type="dxa"/>
            <w:right w:w="108" w:type="dxa"/>
          </w:tblCellMar>
        </w:tblPrEx>
        <w:trPr>
          <w:trHeight w:val="288"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22"/>
                <w:szCs w:val="22"/>
              </w:rPr>
            </w:pPr>
            <w:r>
              <w:rPr>
                <w:rFonts w:hint="eastAsia" w:ascii="宋体" w:hAnsi="宋体" w:cs="宋体"/>
                <w:color w:val="000000"/>
                <w:kern w:val="0"/>
                <w:sz w:val="22"/>
                <w:szCs w:val="22"/>
                <w:lang w:bidi="ar"/>
              </w:rPr>
              <w:t>2012801</w:t>
            </w:r>
          </w:p>
        </w:tc>
        <w:tc>
          <w:tcPr>
            <w:tcW w:w="3269"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 xml:space="preserve">  行政运行</w:t>
            </w:r>
          </w:p>
        </w:tc>
        <w:tc>
          <w:tcPr>
            <w:tcW w:w="2631"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111.71</w:t>
            </w:r>
          </w:p>
        </w:tc>
        <w:tc>
          <w:tcPr>
            <w:tcW w:w="2900" w:type="dxa"/>
            <w:tcBorders>
              <w:top w:val="nil"/>
              <w:left w:val="nil"/>
              <w:bottom w:val="single" w:color="auto" w:sz="4" w:space="0"/>
              <w:right w:val="single" w:color="auto" w:sz="4" w:space="0"/>
            </w:tcBorders>
            <w:vAlign w:val="top"/>
          </w:tcPr>
          <w:p>
            <w:pPr>
              <w:widowControl/>
              <w:ind w:firstLine="2400" w:firstLineChars="1200"/>
              <w:jc w:val="center"/>
              <w:rPr>
                <w:rFonts w:ascii="Arial" w:hAnsi="Arial" w:cs="Arial"/>
                <w:color w:val="000000"/>
                <w:kern w:val="0"/>
                <w:sz w:val="20"/>
                <w:szCs w:val="20"/>
              </w:rPr>
            </w:pPr>
          </w:p>
        </w:tc>
        <w:tc>
          <w:tcPr>
            <w:tcW w:w="3396" w:type="dxa"/>
            <w:tcBorders>
              <w:top w:val="nil"/>
              <w:left w:val="nil"/>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nil"/>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2012804</w:t>
            </w:r>
          </w:p>
        </w:tc>
        <w:tc>
          <w:tcPr>
            <w:tcW w:w="3269" w:type="dxa"/>
            <w:tcBorders>
              <w:top w:val="nil"/>
              <w:left w:val="nil"/>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 xml:space="preserve">  参政议政</w:t>
            </w:r>
          </w:p>
        </w:tc>
        <w:tc>
          <w:tcPr>
            <w:tcW w:w="2631"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26.23</w:t>
            </w:r>
          </w:p>
        </w:tc>
        <w:tc>
          <w:tcPr>
            <w:tcW w:w="2900" w:type="dxa"/>
            <w:tcBorders>
              <w:top w:val="nil"/>
              <w:left w:val="nil"/>
              <w:bottom w:val="single" w:color="auto" w:sz="4" w:space="0"/>
              <w:right w:val="single" w:color="auto" w:sz="4" w:space="0"/>
            </w:tcBorders>
            <w:vAlign w:val="top"/>
          </w:tcPr>
          <w:p>
            <w:pPr>
              <w:widowControl/>
              <w:ind w:firstLine="1000" w:firstLineChars="500"/>
              <w:jc w:val="center"/>
              <w:rPr>
                <w:rFonts w:ascii="Arial" w:hAnsi="Arial" w:cs="Arial"/>
                <w:color w:val="000000"/>
                <w:kern w:val="0"/>
                <w:sz w:val="20"/>
                <w:szCs w:val="20"/>
              </w:rPr>
            </w:pPr>
          </w:p>
        </w:tc>
        <w:tc>
          <w:tcPr>
            <w:tcW w:w="3396" w:type="dxa"/>
            <w:tcBorders>
              <w:top w:val="nil"/>
              <w:left w:val="nil"/>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26.23</w:t>
            </w: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208</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color w:val="000000"/>
                <w:kern w:val="0"/>
                <w:sz w:val="20"/>
                <w:szCs w:val="20"/>
              </w:rPr>
            </w:pPr>
            <w:r>
              <w:rPr>
                <w:rFonts w:hint="eastAsia" w:ascii="宋体" w:hAnsi="宋体" w:cs="宋体"/>
                <w:color w:val="000000"/>
                <w:kern w:val="0"/>
                <w:sz w:val="22"/>
                <w:szCs w:val="22"/>
                <w:lang w:bidi="ar"/>
              </w:rPr>
              <w:t>社会保障和就业支出</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4.00</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4.00</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20805</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行政事业单位离退休</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4.00</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4.00</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2080501</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归口管理的行政单位离退休</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4.00</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4.00</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210</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医疗卫生与计划生育支出</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7.10</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7.10</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21011</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行政事业单位医疗</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7.10</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7.10</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2101101</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行政单位医疗</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7.10</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7.10</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住房保障支出</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10.52</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ascii="Arial" w:hAnsi="Arial" w:cs="Arial"/>
                <w:color w:val="000000"/>
                <w:kern w:val="0"/>
                <w:sz w:val="20"/>
                <w:szCs w:val="20"/>
              </w:rPr>
            </w:pPr>
            <w:r>
              <w:rPr>
                <w:rFonts w:hint="eastAsia" w:ascii="Arial" w:hAnsi="Arial" w:cs="Arial"/>
                <w:color w:val="000000"/>
                <w:kern w:val="0"/>
                <w:sz w:val="20"/>
                <w:szCs w:val="20"/>
              </w:rPr>
              <w:t>10.52</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22102</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住房改革支出</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10.52</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ascii="Arial" w:hAnsi="Arial" w:cs="Arial"/>
                <w:color w:val="000000"/>
                <w:kern w:val="0"/>
                <w:sz w:val="20"/>
                <w:szCs w:val="20"/>
              </w:rPr>
            </w:pPr>
            <w:r>
              <w:rPr>
                <w:rFonts w:hint="eastAsia" w:ascii="Arial" w:hAnsi="Arial" w:cs="Arial"/>
                <w:color w:val="000000"/>
                <w:kern w:val="0"/>
                <w:sz w:val="20"/>
                <w:szCs w:val="20"/>
              </w:rPr>
              <w:t>10.52</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2210201</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住房公积金</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8.16</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ascii="Arial" w:hAnsi="Arial" w:cs="Arial"/>
                <w:color w:val="000000"/>
                <w:kern w:val="0"/>
                <w:sz w:val="20"/>
                <w:szCs w:val="20"/>
              </w:rPr>
            </w:pPr>
            <w:r>
              <w:rPr>
                <w:rFonts w:hint="eastAsia" w:ascii="Arial" w:hAnsi="Arial" w:cs="Arial"/>
                <w:color w:val="000000"/>
                <w:kern w:val="0"/>
                <w:sz w:val="20"/>
                <w:szCs w:val="20"/>
              </w:rPr>
              <w:t>8.16</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2210203</w:t>
            </w:r>
          </w:p>
        </w:tc>
        <w:tc>
          <w:tcPr>
            <w:tcW w:w="326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 xml:space="preserve">  购房补贴</w:t>
            </w:r>
          </w:p>
        </w:tc>
        <w:tc>
          <w:tcPr>
            <w:tcW w:w="2631" w:type="dxa"/>
            <w:tcBorders>
              <w:top w:val="single" w:color="auto" w:sz="4" w:space="0"/>
              <w:left w:val="single" w:color="auto" w:sz="4" w:space="0"/>
              <w:bottom w:val="single" w:color="auto" w:sz="4" w:space="0"/>
              <w:right w:val="single" w:color="auto" w:sz="4" w:space="0"/>
            </w:tcBorders>
            <w:vAlign w:val="top"/>
          </w:tcPr>
          <w:p>
            <w:pPr>
              <w:widowControl/>
              <w:rPr>
                <w:rFonts w:hint="eastAsia" w:ascii="Arial" w:hAnsi="Arial" w:cs="Arial"/>
                <w:color w:val="000000"/>
                <w:kern w:val="0"/>
                <w:sz w:val="20"/>
                <w:szCs w:val="20"/>
              </w:rPr>
            </w:pPr>
            <w:r>
              <w:rPr>
                <w:rFonts w:hint="eastAsia" w:ascii="Arial" w:hAnsi="Arial" w:cs="Arial"/>
                <w:color w:val="000000"/>
                <w:kern w:val="0"/>
                <w:sz w:val="20"/>
                <w:szCs w:val="20"/>
              </w:rPr>
              <w:t>2.36</w:t>
            </w:r>
          </w:p>
        </w:tc>
        <w:tc>
          <w:tcPr>
            <w:tcW w:w="2900" w:type="dxa"/>
            <w:tcBorders>
              <w:top w:val="single" w:color="auto" w:sz="4" w:space="0"/>
              <w:left w:val="single" w:color="auto" w:sz="4" w:space="0"/>
              <w:bottom w:val="single" w:color="auto" w:sz="4" w:space="0"/>
              <w:right w:val="single" w:color="auto" w:sz="4" w:space="0"/>
            </w:tcBorders>
            <w:vAlign w:val="top"/>
          </w:tcPr>
          <w:p>
            <w:pPr>
              <w:widowControl/>
              <w:rPr>
                <w:rFonts w:ascii="Arial" w:hAnsi="Arial" w:cs="Arial"/>
                <w:color w:val="000000"/>
                <w:kern w:val="0"/>
                <w:sz w:val="20"/>
                <w:szCs w:val="20"/>
              </w:rPr>
            </w:pPr>
            <w:r>
              <w:rPr>
                <w:rFonts w:hint="eastAsia" w:ascii="Arial" w:hAnsi="Arial" w:cs="Arial"/>
                <w:color w:val="000000"/>
                <w:kern w:val="0"/>
                <w:sz w:val="20"/>
                <w:szCs w:val="20"/>
              </w:rPr>
              <w:t>2.36</w:t>
            </w:r>
          </w:p>
        </w:tc>
        <w:tc>
          <w:tcPr>
            <w:tcW w:w="3396" w:type="dxa"/>
            <w:tcBorders>
              <w:top w:val="single" w:color="auto" w:sz="4" w:space="0"/>
              <w:left w:val="single" w:color="auto" w:sz="4" w:space="0"/>
              <w:bottom w:val="single" w:color="auto" w:sz="4" w:space="0"/>
              <w:right w:val="single" w:color="auto" w:sz="4" w:space="0"/>
            </w:tcBorders>
            <w:vAlign w:val="top"/>
          </w:tcPr>
          <w:p>
            <w:pPr>
              <w:widowControl/>
              <w:ind w:firstLine="3000" w:firstLineChars="1500"/>
              <w:jc w:val="center"/>
              <w:rPr>
                <w:rFonts w:ascii="Arial" w:hAnsi="Arial" w:cs="Arial"/>
                <w:color w:val="000000"/>
                <w:kern w:val="0"/>
                <w:sz w:val="20"/>
                <w:szCs w:val="20"/>
              </w:rPr>
            </w:pPr>
          </w:p>
        </w:tc>
      </w:tr>
    </w:tbl>
    <w:p>
      <w:pPr>
        <w:rPr>
          <w:rFonts w:hint="eastAsia"/>
        </w:rPr>
      </w:pPr>
    </w:p>
    <w:p>
      <w:pPr>
        <w:rPr>
          <w:rFonts w:hint="eastAsia"/>
        </w:rPr>
      </w:pPr>
      <w:r>
        <w:rPr>
          <w:rFonts w:hint="eastAsia"/>
        </w:rPr>
        <w:t>注：本表反映部门本年度一般公共预算财政拨款实际支出情况。</w:t>
      </w:r>
    </w:p>
    <w:p>
      <w:pPr>
        <w:rPr>
          <w:rFonts w:hint="eastAsia"/>
        </w:rPr>
      </w:pPr>
    </w:p>
    <w:p>
      <w:pPr>
        <w:rPr>
          <w:rFonts w:hint="eastAsia"/>
        </w:rPr>
      </w:pPr>
    </w:p>
    <w:p>
      <w:pPr>
        <w:sectPr>
          <w:footerReference r:id="rId9" w:type="default"/>
          <w:footerReference r:id="rId10" w:type="even"/>
          <w:pgSz w:w="16838" w:h="11906" w:orient="landscape"/>
          <w:pgMar w:top="1377" w:right="1440" w:bottom="1797" w:left="1440" w:header="851" w:footer="992" w:gutter="0"/>
          <w:pgNumType w:fmt="numberInDash"/>
          <w:cols w:space="720" w:num="1"/>
          <w:docGrid w:type="lines" w:linePitch="312" w:charSpace="0"/>
        </w:sect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hint="eastAsia" w:ascii="宋体" w:hAnsi="宋体" w:cs="宋体"/>
          <w:kern w:val="0"/>
          <w:sz w:val="22"/>
          <w:szCs w:val="22"/>
        </w:rPr>
      </w:pPr>
    </w:p>
    <w:p>
      <w:pPr>
        <w:jc w:val="center"/>
        <w:rPr>
          <w:rFonts w:hint="eastAsia" w:ascii="方正小标宋简体" w:hAnsi="宋体" w:eastAsia="方正小标宋简体" w:cs="宋体"/>
          <w:kern w:val="0"/>
          <w:sz w:val="36"/>
          <w:szCs w:val="36"/>
        </w:rPr>
      </w:pPr>
      <w:r>
        <w:rPr>
          <w:rFonts w:hint="eastAsia" w:ascii="宋体" w:hAnsi="宋体" w:cs="宋体"/>
          <w:kern w:val="0"/>
          <w:sz w:val="22"/>
          <w:szCs w:val="22"/>
        </w:rPr>
        <w:t xml:space="preserve">                                                       单位：万元</w:t>
      </w:r>
    </w:p>
    <w:tbl>
      <w:tblPr>
        <w:tblStyle w:val="6"/>
        <w:tblpPr w:leftFromText="180" w:rightFromText="180" w:vertAnchor="text" w:horzAnchor="page" w:tblpX="926" w:tblpY="261"/>
        <w:tblOverlap w:val="never"/>
        <w:tblW w:w="9151" w:type="dxa"/>
        <w:tblInd w:w="0" w:type="dxa"/>
        <w:tblLayout w:type="fixed"/>
        <w:tblCellMar>
          <w:top w:w="0" w:type="dxa"/>
          <w:left w:w="108" w:type="dxa"/>
          <w:bottom w:w="0" w:type="dxa"/>
          <w:right w:w="108" w:type="dxa"/>
        </w:tblCellMar>
      </w:tblPr>
      <w:tblGrid>
        <w:gridCol w:w="916"/>
        <w:gridCol w:w="3061"/>
        <w:gridCol w:w="1010"/>
        <w:gridCol w:w="849"/>
        <w:gridCol w:w="1710"/>
        <w:gridCol w:w="1605"/>
      </w:tblGrid>
      <w:tr>
        <w:tblPrEx>
          <w:tblLayout w:type="fixed"/>
          <w:tblCellMar>
            <w:top w:w="0" w:type="dxa"/>
            <w:left w:w="108" w:type="dxa"/>
            <w:bottom w:w="0" w:type="dxa"/>
            <w:right w:w="108" w:type="dxa"/>
          </w:tblCellMar>
        </w:tblPrEx>
        <w:trPr>
          <w:trHeight w:val="564" w:hRule="atLeast"/>
        </w:trPr>
        <w:tc>
          <w:tcPr>
            <w:tcW w:w="4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916" w:type="dxa"/>
            <w:tcBorders>
              <w:top w:val="nil"/>
              <w:left w:val="single" w:color="auto" w:sz="4" w:space="0"/>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3061"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10" w:type="dxa"/>
            <w:tcBorders>
              <w:top w:val="nil"/>
              <w:left w:val="nil"/>
              <w:bottom w:val="single" w:color="auto" w:sz="4" w:space="0"/>
              <w:right w:val="single" w:color="auto" w:sz="4" w:space="0"/>
            </w:tcBorders>
            <w:vAlign w:val="bottom"/>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经济分类科目编码</w:t>
            </w:r>
          </w:p>
        </w:tc>
        <w:tc>
          <w:tcPr>
            <w:tcW w:w="1710"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5" w:type="dxa"/>
            <w:tcBorders>
              <w:top w:val="nil"/>
              <w:left w:val="nil"/>
              <w:bottom w:val="single" w:color="auto" w:sz="4" w:space="0"/>
              <w:right w:val="single" w:color="auto" w:sz="4" w:space="0"/>
            </w:tcBorders>
            <w:vAlign w:val="bottom"/>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112.30</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商品和服务支出</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41.43</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30101</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基本工资</w:t>
            </w:r>
          </w:p>
        </w:tc>
        <w:tc>
          <w:tcPr>
            <w:tcW w:w="10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27.16</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30201</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办公费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0.98</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30102</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津贴补贴</w:t>
            </w:r>
          </w:p>
        </w:tc>
        <w:tc>
          <w:tcPr>
            <w:tcW w:w="1010"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27.05</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30202</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印刷费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0.72</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30103</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资金  </w:t>
            </w:r>
            <w:r>
              <w:rPr>
                <w:rFonts w:ascii="宋体" w:hAnsi="宋体" w:cs="Arial"/>
                <w:color w:val="000000"/>
                <w:kern w:val="0"/>
                <w:sz w:val="22"/>
                <w:szCs w:val="22"/>
              </w:rPr>
              <w:t>　</w:t>
            </w: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26.54</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30207</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邮电费</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0.89</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30104</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其他社会保障缴费</w:t>
            </w:r>
          </w:p>
        </w:tc>
        <w:tc>
          <w:tcPr>
            <w:tcW w:w="10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30211</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差旅费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3.82</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30106</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伙食补助费</w:t>
            </w:r>
          </w:p>
        </w:tc>
        <w:tc>
          <w:tcPr>
            <w:tcW w:w="1010"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2.92</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30216</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培训费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7.39</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30107</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绩效工资</w:t>
            </w:r>
          </w:p>
        </w:tc>
        <w:tc>
          <w:tcPr>
            <w:tcW w:w="10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30206</w:t>
            </w:r>
          </w:p>
        </w:tc>
        <w:tc>
          <w:tcPr>
            <w:tcW w:w="17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电费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0.74</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30108</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机关事业单位基本养老保险缴费</w:t>
            </w: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10.84</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30217</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接待费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0.33</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30109</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职业年金缴费</w:t>
            </w:r>
          </w:p>
        </w:tc>
        <w:tc>
          <w:tcPr>
            <w:tcW w:w="10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30226</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劳务费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0.05</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30113 </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住房公积金</w:t>
            </w:r>
          </w:p>
        </w:tc>
        <w:tc>
          <w:tcPr>
            <w:tcW w:w="101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8.16</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605"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30102</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购房补贴</w:t>
            </w:r>
          </w:p>
        </w:tc>
        <w:tc>
          <w:tcPr>
            <w:tcW w:w="10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2.36</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605"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30199</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其他工资福利支出</w:t>
            </w:r>
          </w:p>
        </w:tc>
        <w:tc>
          <w:tcPr>
            <w:tcW w:w="10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30228</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工会经费</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1.08</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30110</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医疗费</w:t>
            </w:r>
          </w:p>
        </w:tc>
        <w:tc>
          <w:tcPr>
            <w:tcW w:w="10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7.27</w:t>
            </w: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其他交通费</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7.84</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303</w:t>
            </w:r>
          </w:p>
        </w:tc>
        <w:tc>
          <w:tcPr>
            <w:tcW w:w="3061"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对个人家庭的补助</w:t>
            </w:r>
            <w:r>
              <w:rPr>
                <w:rFonts w:ascii="宋体" w:hAnsi="宋体" w:cs="Arial"/>
                <w:color w:val="000000"/>
                <w:kern w:val="0"/>
                <w:sz w:val="22"/>
                <w:szCs w:val="22"/>
              </w:rPr>
              <w:t>　</w:t>
            </w: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4.00</w:t>
            </w: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Arial"/>
                <w:color w:val="000000"/>
                <w:kern w:val="0"/>
                <w:sz w:val="22"/>
                <w:szCs w:val="22"/>
              </w:rPr>
            </w:pP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605"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30399</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 xml:space="preserve">其他对个人和家庭的补助 </w:t>
            </w: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4.00</w:t>
            </w: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30299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17.57</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其他资本性支出</w:t>
            </w:r>
            <w:r>
              <w:rPr>
                <w:rFonts w:ascii="宋体" w:hAnsi="宋体" w:cs="Arial"/>
                <w:color w:val="000000"/>
                <w:kern w:val="0"/>
                <w:sz w:val="22"/>
                <w:szCs w:val="22"/>
              </w:rPr>
              <w:t>　</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1.83</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3061"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 xml:space="preserve"> ……</w:t>
            </w:r>
          </w:p>
        </w:tc>
        <w:tc>
          <w:tcPr>
            <w:tcW w:w="10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31002</w:t>
            </w:r>
          </w:p>
        </w:tc>
        <w:tc>
          <w:tcPr>
            <w:tcW w:w="1710"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办公设备购置</w:t>
            </w:r>
          </w:p>
        </w:tc>
        <w:tc>
          <w:tcPr>
            <w:tcW w:w="1605" w:type="dxa"/>
            <w:tcBorders>
              <w:top w:val="nil"/>
              <w:left w:val="nil"/>
              <w:bottom w:val="single" w:color="auto" w:sz="4" w:space="0"/>
              <w:right w:val="single" w:color="auto" w:sz="4" w:space="0"/>
            </w:tcBorders>
            <w:vAlign w:val="bottom"/>
          </w:tcPr>
          <w:p>
            <w:pPr>
              <w:widowControl/>
              <w:jc w:val="left"/>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1.83</w:t>
            </w:r>
          </w:p>
        </w:tc>
      </w:tr>
      <w:tr>
        <w:tblPrEx>
          <w:tblLayout w:type="fixed"/>
          <w:tblCellMar>
            <w:top w:w="0" w:type="dxa"/>
            <w:left w:w="108" w:type="dxa"/>
            <w:bottom w:w="0" w:type="dxa"/>
            <w:right w:w="108" w:type="dxa"/>
          </w:tblCellMar>
        </w:tblPrEx>
        <w:trPr>
          <w:trHeight w:val="264" w:hRule="atLeast"/>
        </w:trPr>
        <w:tc>
          <w:tcPr>
            <w:tcW w:w="3977"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10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116.30</w:t>
            </w:r>
          </w:p>
        </w:tc>
        <w:tc>
          <w:tcPr>
            <w:tcW w:w="2559"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公用经费合计</w:t>
            </w:r>
          </w:p>
        </w:tc>
        <w:tc>
          <w:tcPr>
            <w:tcW w:w="160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43.27</w:t>
            </w:r>
          </w:p>
        </w:tc>
      </w:tr>
    </w:tbl>
    <w:p>
      <w:pPr>
        <w:ind w:right="330"/>
        <w:jc w:val="right"/>
        <w:rPr>
          <w:rFonts w:ascii="宋体" w:hAnsi="宋体" w:cs="宋体"/>
          <w:kern w:val="0"/>
          <w:sz w:val="22"/>
          <w:szCs w:val="22"/>
        </w:rPr>
      </w:pPr>
    </w:p>
    <w:p>
      <w:pPr>
        <w:sectPr>
          <w:pgSz w:w="11906" w:h="16838"/>
          <w:pgMar w:top="1440" w:right="1797" w:bottom="1440" w:left="1797" w:header="851" w:footer="992" w:gutter="0"/>
          <w:pgNumType w:fmt="numberInDash"/>
          <w:cols w:space="720" w:num="1"/>
          <w:docGrid w:type="lines" w:linePitch="312" w:charSpace="0"/>
        </w:sectPr>
      </w:pPr>
      <w:r>
        <w:rPr>
          <w:rFonts w:hint="eastAsia"/>
        </w:rPr>
        <w:t>注：本表反映部门本年度一般公共预算财政拨款基本支出明细情况。</w:t>
      </w: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w:t>
      </w:r>
      <w:r>
        <w:rPr>
          <w:rFonts w:ascii="方正小标宋简体" w:hAnsi="宋体" w:eastAsia="方正小标宋简体" w:cs="宋体"/>
          <w:kern w:val="0"/>
          <w:sz w:val="36"/>
          <w:szCs w:val="36"/>
        </w:rPr>
        <w:t>三公</w:t>
      </w:r>
      <w:r>
        <w:rPr>
          <w:rFonts w:hint="eastAsia" w:ascii="方正小标宋简体" w:hAnsi="宋体" w:eastAsia="方正小标宋简体" w:cs="宋体"/>
          <w:kern w:val="0"/>
          <w:sz w:val="36"/>
          <w:szCs w:val="36"/>
        </w:rPr>
        <w:t>”</w:t>
      </w:r>
      <w:r>
        <w:rPr>
          <w:rFonts w:ascii="方正小标宋简体" w:hAnsi="宋体" w:eastAsia="方正小标宋简体" w:cs="宋体"/>
          <w:kern w:val="0"/>
          <w:sz w:val="36"/>
          <w:szCs w:val="36"/>
        </w:rPr>
        <w:t>经费</w:t>
      </w:r>
      <w:r>
        <w:rPr>
          <w:rFonts w:hint="eastAsia" w:ascii="方正小标宋简体" w:hAnsi="宋体" w:eastAsia="方正小标宋简体" w:cs="宋体"/>
          <w:kern w:val="0"/>
          <w:sz w:val="36"/>
          <w:szCs w:val="36"/>
        </w:rPr>
        <w:t>支出决算表</w:t>
      </w:r>
    </w:p>
    <w:p>
      <w:pPr>
        <w:rPr>
          <w:rFonts w:hint="eastAsia"/>
        </w:rPr>
      </w:pPr>
    </w:p>
    <w:p>
      <w:pPr>
        <w:jc w:val="right"/>
        <w:rPr>
          <w:rFonts w:hint="eastAsia"/>
        </w:rPr>
      </w:pPr>
      <w:r>
        <w:rPr>
          <w:rFonts w:hint="eastAsia"/>
        </w:rPr>
        <w:t>单位：万元</w:t>
      </w:r>
    </w:p>
    <w:tbl>
      <w:tblPr>
        <w:tblStyle w:val="6"/>
        <w:tblW w:w="13921" w:type="dxa"/>
        <w:jc w:val="center"/>
        <w:tblInd w:w="0"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2017年度预算数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2017年度决算数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6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21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合计</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因公出国</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公务用车购置及运行费</w:t>
            </w:r>
          </w:p>
        </w:tc>
        <w:tc>
          <w:tcPr>
            <w:tcW w:w="118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公务接</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(境）费</w:t>
            </w:r>
          </w:p>
        </w:tc>
        <w:tc>
          <w:tcPr>
            <w:tcW w:w="82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21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待费</w:t>
            </w: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(境）费</w:t>
            </w:r>
          </w:p>
        </w:tc>
        <w:tc>
          <w:tcPr>
            <w:tcW w:w="80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购置费</w:t>
            </w:r>
          </w:p>
        </w:tc>
        <w:tc>
          <w:tcPr>
            <w:tcW w:w="120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公务用车 运行费</w:t>
            </w:r>
          </w:p>
        </w:tc>
        <w:tc>
          <w:tcPr>
            <w:tcW w:w="118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kern w:val="0"/>
                <w:sz w:val="22"/>
                <w:szCs w:val="22"/>
              </w:rPr>
              <w:t>待费</w:t>
            </w: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2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2"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1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80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60"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06"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08"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83" w:type="dxa"/>
            <w:tcBorders>
              <w:top w:val="nil"/>
              <w:left w:val="nil"/>
              <w:bottom w:val="single" w:color="auto" w:sz="4" w:space="0"/>
              <w:right w:val="single" w:color="auto" w:sz="4" w:space="0"/>
            </w:tcBorders>
            <w:vAlign w:val="top"/>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vAlign w:val="top"/>
          </w:tcPr>
          <w:p>
            <w:pPr>
              <w:widowControl/>
              <w:ind w:firstLine="200" w:firstLineChars="100"/>
              <w:jc w:val="center"/>
              <w:rPr>
                <w:rFonts w:hint="eastAsia" w:ascii="Arial" w:hAnsi="Arial" w:cs="Arial"/>
                <w:color w:val="000000"/>
                <w:kern w:val="0"/>
                <w:sz w:val="20"/>
                <w:szCs w:val="20"/>
              </w:rPr>
            </w:pPr>
            <w:r>
              <w:rPr>
                <w:rFonts w:hint="eastAsia" w:ascii="Arial" w:hAnsi="Arial" w:cs="Arial"/>
                <w:color w:val="000000"/>
                <w:kern w:val="0"/>
                <w:sz w:val="20"/>
                <w:szCs w:val="20"/>
              </w:rPr>
              <w:t>0.25</w:t>
            </w:r>
          </w:p>
        </w:tc>
        <w:tc>
          <w:tcPr>
            <w:tcW w:w="1603" w:type="dxa"/>
            <w:tcBorders>
              <w:top w:val="nil"/>
              <w:left w:val="nil"/>
              <w:bottom w:val="single" w:color="auto" w:sz="4" w:space="0"/>
              <w:right w:val="single" w:color="auto" w:sz="4" w:space="0"/>
            </w:tcBorders>
            <w:vAlign w:val="top"/>
          </w:tcPr>
          <w:p>
            <w:pPr>
              <w:widowControl/>
              <w:ind w:firstLine="200" w:firstLineChars="100"/>
              <w:jc w:val="center"/>
              <w:rPr>
                <w:rFonts w:ascii="Arial" w:hAnsi="Arial" w:cs="Arial"/>
                <w:color w:val="000000"/>
                <w:kern w:val="0"/>
                <w:sz w:val="20"/>
                <w:szCs w:val="20"/>
              </w:rPr>
            </w:pPr>
          </w:p>
        </w:tc>
        <w:tc>
          <w:tcPr>
            <w:tcW w:w="828" w:type="dxa"/>
            <w:tcBorders>
              <w:top w:val="nil"/>
              <w:left w:val="nil"/>
              <w:bottom w:val="single" w:color="auto" w:sz="4" w:space="0"/>
              <w:right w:val="single" w:color="auto" w:sz="4" w:space="0"/>
            </w:tcBorders>
            <w:vAlign w:val="top"/>
          </w:tcPr>
          <w:p>
            <w:pPr>
              <w:widowControl/>
              <w:ind w:firstLine="200" w:firstLineChars="100"/>
              <w:jc w:val="center"/>
              <w:rPr>
                <w:rFonts w:ascii="Arial" w:hAnsi="Arial" w:cs="Arial"/>
                <w:color w:val="000000"/>
                <w:kern w:val="0"/>
                <w:sz w:val="20"/>
                <w:szCs w:val="20"/>
              </w:rPr>
            </w:pPr>
          </w:p>
        </w:tc>
        <w:tc>
          <w:tcPr>
            <w:tcW w:w="1242"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p>
        </w:tc>
        <w:tc>
          <w:tcPr>
            <w:tcW w:w="1242"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p>
        </w:tc>
        <w:tc>
          <w:tcPr>
            <w:tcW w:w="1216" w:type="dxa"/>
            <w:tcBorders>
              <w:top w:val="nil"/>
              <w:left w:val="nil"/>
              <w:bottom w:val="single" w:color="auto" w:sz="4" w:space="0"/>
              <w:right w:val="single" w:color="auto" w:sz="4" w:space="0"/>
            </w:tcBorders>
            <w:vAlign w:val="top"/>
          </w:tcPr>
          <w:p>
            <w:pPr>
              <w:widowControl/>
              <w:ind w:firstLine="200" w:firstLineChars="100"/>
              <w:jc w:val="center"/>
              <w:rPr>
                <w:rFonts w:hint="eastAsia" w:ascii="Arial" w:hAnsi="Arial" w:cs="Arial"/>
                <w:color w:val="000000"/>
                <w:kern w:val="0"/>
                <w:sz w:val="20"/>
                <w:szCs w:val="20"/>
              </w:rPr>
            </w:pPr>
            <w:r>
              <w:rPr>
                <w:rFonts w:hint="eastAsia" w:ascii="Arial" w:hAnsi="Arial" w:cs="Arial"/>
                <w:color w:val="000000"/>
                <w:kern w:val="0"/>
                <w:sz w:val="20"/>
                <w:szCs w:val="20"/>
              </w:rPr>
              <w:t>0.25</w:t>
            </w:r>
          </w:p>
        </w:tc>
        <w:tc>
          <w:tcPr>
            <w:tcW w:w="806" w:type="dxa"/>
            <w:tcBorders>
              <w:top w:val="nil"/>
              <w:left w:val="nil"/>
              <w:bottom w:val="single" w:color="auto" w:sz="4" w:space="0"/>
              <w:right w:val="single" w:color="auto" w:sz="4" w:space="0"/>
            </w:tcBorders>
            <w:vAlign w:val="top"/>
          </w:tcPr>
          <w:p>
            <w:pPr>
              <w:widowControl/>
              <w:ind w:firstLine="200" w:firstLineChars="100"/>
              <w:jc w:val="center"/>
              <w:rPr>
                <w:rFonts w:ascii="Arial" w:hAnsi="Arial" w:cs="Arial"/>
                <w:color w:val="000000"/>
                <w:kern w:val="0"/>
                <w:sz w:val="20"/>
                <w:szCs w:val="20"/>
              </w:rPr>
            </w:pPr>
            <w:r>
              <w:rPr>
                <w:rFonts w:hint="eastAsia" w:ascii="Arial" w:hAnsi="Arial" w:cs="Arial"/>
                <w:color w:val="000000"/>
                <w:kern w:val="0"/>
                <w:sz w:val="20"/>
                <w:szCs w:val="20"/>
              </w:rPr>
              <w:t>0.33</w:t>
            </w:r>
          </w:p>
        </w:tc>
        <w:tc>
          <w:tcPr>
            <w:tcW w:w="1560" w:type="dxa"/>
            <w:tcBorders>
              <w:top w:val="nil"/>
              <w:left w:val="nil"/>
              <w:bottom w:val="single" w:color="auto" w:sz="4" w:space="0"/>
              <w:right w:val="single" w:color="auto" w:sz="4" w:space="0"/>
            </w:tcBorders>
            <w:vAlign w:val="top"/>
          </w:tcPr>
          <w:p>
            <w:pPr>
              <w:widowControl/>
              <w:ind w:firstLine="200" w:firstLineChars="100"/>
              <w:jc w:val="center"/>
              <w:rPr>
                <w:rFonts w:ascii="Arial" w:hAnsi="Arial" w:cs="Arial"/>
                <w:color w:val="000000"/>
                <w:kern w:val="0"/>
                <w:sz w:val="20"/>
                <w:szCs w:val="20"/>
              </w:rPr>
            </w:pPr>
          </w:p>
        </w:tc>
        <w:tc>
          <w:tcPr>
            <w:tcW w:w="806" w:type="dxa"/>
            <w:tcBorders>
              <w:top w:val="nil"/>
              <w:left w:val="nil"/>
              <w:bottom w:val="single" w:color="auto" w:sz="4" w:space="0"/>
              <w:right w:val="single" w:color="auto" w:sz="4" w:space="0"/>
            </w:tcBorders>
            <w:vAlign w:val="top"/>
          </w:tcPr>
          <w:p>
            <w:pPr>
              <w:widowControl/>
              <w:ind w:firstLine="200" w:firstLineChars="100"/>
              <w:jc w:val="center"/>
              <w:rPr>
                <w:rFonts w:ascii="Arial" w:hAnsi="Arial" w:cs="Arial"/>
                <w:color w:val="000000"/>
                <w:kern w:val="0"/>
                <w:sz w:val="20"/>
                <w:szCs w:val="20"/>
              </w:rPr>
            </w:pPr>
          </w:p>
        </w:tc>
        <w:tc>
          <w:tcPr>
            <w:tcW w:w="1398" w:type="dxa"/>
            <w:tcBorders>
              <w:top w:val="nil"/>
              <w:left w:val="nil"/>
              <w:bottom w:val="single" w:color="auto" w:sz="4" w:space="0"/>
              <w:right w:val="single" w:color="auto" w:sz="4" w:space="0"/>
            </w:tcBorders>
            <w:vAlign w:val="top"/>
          </w:tcPr>
          <w:p>
            <w:pPr>
              <w:widowControl/>
              <w:ind w:firstLine="400" w:firstLineChars="200"/>
              <w:jc w:val="center"/>
              <w:rPr>
                <w:rFonts w:ascii="Arial" w:hAnsi="Arial" w:cs="Arial"/>
                <w:color w:val="000000"/>
                <w:kern w:val="0"/>
                <w:sz w:val="20"/>
                <w:szCs w:val="20"/>
              </w:rPr>
            </w:pPr>
          </w:p>
        </w:tc>
        <w:tc>
          <w:tcPr>
            <w:tcW w:w="1208" w:type="dxa"/>
            <w:tcBorders>
              <w:top w:val="nil"/>
              <w:left w:val="nil"/>
              <w:bottom w:val="single" w:color="auto" w:sz="4" w:space="0"/>
              <w:right w:val="single" w:color="auto" w:sz="4" w:space="0"/>
            </w:tcBorders>
            <w:vAlign w:val="top"/>
          </w:tcPr>
          <w:p>
            <w:pPr>
              <w:widowControl/>
              <w:jc w:val="center"/>
              <w:rPr>
                <w:rFonts w:ascii="Arial" w:hAnsi="Arial" w:cs="Arial"/>
                <w:color w:val="000000"/>
                <w:kern w:val="0"/>
                <w:sz w:val="20"/>
                <w:szCs w:val="20"/>
              </w:rPr>
            </w:pPr>
          </w:p>
        </w:tc>
        <w:tc>
          <w:tcPr>
            <w:tcW w:w="1183" w:type="dxa"/>
            <w:tcBorders>
              <w:top w:val="nil"/>
              <w:left w:val="nil"/>
              <w:bottom w:val="single" w:color="auto" w:sz="4" w:space="0"/>
              <w:right w:val="single" w:color="auto" w:sz="4" w:space="0"/>
            </w:tcBorders>
            <w:vAlign w:val="top"/>
          </w:tcPr>
          <w:p>
            <w:pPr>
              <w:widowControl/>
              <w:ind w:firstLine="200" w:firstLineChars="100"/>
              <w:jc w:val="center"/>
              <w:rPr>
                <w:rFonts w:hint="eastAsia" w:ascii="Arial" w:hAnsi="Arial" w:cs="Arial"/>
                <w:color w:val="000000"/>
                <w:kern w:val="0"/>
                <w:sz w:val="20"/>
                <w:szCs w:val="20"/>
              </w:rPr>
            </w:pPr>
            <w:r>
              <w:rPr>
                <w:rFonts w:hint="eastAsia" w:ascii="Arial" w:hAnsi="Arial" w:cs="Arial"/>
                <w:color w:val="000000"/>
                <w:kern w:val="0"/>
                <w:sz w:val="20"/>
                <w:szCs w:val="20"/>
              </w:rPr>
              <w:t>0.33</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注：本表反映部门本年度“三公”经费支出预决算情况。其中，2017年度预算数为“三公”经费年初预算数，决算数是包括当年一般公共预算财政拨款和以前年度结转资金安排的实际支出。</w:t>
      </w:r>
    </w:p>
    <w:p>
      <w:pPr>
        <w:rPr>
          <w:rFonts w:hint="eastAsia"/>
        </w:rPr>
      </w:pPr>
    </w:p>
    <w:p>
      <w:pPr>
        <w:rPr>
          <w:rFonts w:hint="eastAsia"/>
        </w:rPr>
      </w:pPr>
    </w:p>
    <w:tbl>
      <w:tblPr>
        <w:tblStyle w:val="6"/>
        <w:tblW w:w="12480" w:type="dxa"/>
        <w:jc w:val="center"/>
        <w:tblInd w:w="0"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385"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科目编码</w:t>
            </w:r>
          </w:p>
        </w:tc>
        <w:tc>
          <w:tcPr>
            <w:tcW w:w="13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上年结转和结余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shd w:val="clear" w:color="auto" w:fill="auto"/>
            <w:vAlign w:val="center"/>
          </w:tcPr>
          <w:p>
            <w:pPr>
              <w:widowControl/>
              <w:jc w:val="left"/>
              <w:rPr>
                <w:rFonts w:ascii="宋体" w:hAns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基本支出结转和结余</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基本支出结转和结余</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项目支出结转和结余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hAns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　合  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类</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款</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项</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bl>
    <w:p>
      <w:pPr>
        <w:spacing w:line="560" w:lineRule="exact"/>
        <w:rPr>
          <w:rFonts w:hint="eastAsia" w:eastAsia="宋体"/>
          <w:lang w:val="en-US" w:eastAsia="zh-CN"/>
        </w:rPr>
        <w:sectPr>
          <w:pgSz w:w="16838" w:h="11906" w:orient="landscape"/>
          <w:pgMar w:top="1797" w:right="1440" w:bottom="1797" w:left="1440" w:header="851" w:footer="992" w:gutter="0"/>
          <w:pgNumType w:fmt="numberInDash"/>
          <w:cols w:space="720" w:num="1"/>
          <w:docGrid w:type="lines" w:linePitch="312" w:charSpace="0"/>
        </w:sectPr>
      </w:pPr>
      <w:r>
        <w:rPr>
          <w:rFonts w:hint="eastAsia"/>
        </w:rPr>
        <w:t xml:space="preserve">    注：农工党柳州市委没有政府性基金收入，也没有政府性基金安排的支出，故本表无</w:t>
      </w:r>
      <w:r>
        <w:rPr>
          <w:rFonts w:hint="eastAsia"/>
          <w:lang w:eastAsia="zh-CN"/>
        </w:rPr>
        <w:t>数据。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0"/>
      <w:jc w:val="center"/>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hint="eastAsia" w:ascii="宋体" w:hAnsi="宋体"/>
        <w:sz w:val="24"/>
        <w:szCs w:val="24"/>
      </w:rPr>
      <w:t xml:space="preserve"> -</w:t>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30"/>
        <w:szCs w:val="30"/>
      </w:rPr>
    </w:pPr>
    <w:r>
      <w:rPr>
        <w:sz w:val="30"/>
        <w:szCs w:val="30"/>
      </w:rPr>
      <w:fldChar w:fldCharType="begin"/>
    </w:r>
    <w:r>
      <w:rPr>
        <w:rStyle w:val="5"/>
        <w:sz w:val="30"/>
        <w:szCs w:val="30"/>
      </w:rPr>
      <w:instrText xml:space="preserve">PAGE  </w:instrText>
    </w:r>
    <w:r>
      <w:rPr>
        <w:sz w:val="30"/>
        <w:szCs w:val="30"/>
      </w:rPr>
      <w:fldChar w:fldCharType="separate"/>
    </w:r>
    <w:r>
      <w:rPr>
        <w:rStyle w:val="5"/>
        <w:sz w:val="30"/>
        <w:szCs w:val="30"/>
      </w:rPr>
      <w:t>- 10 -</w:t>
    </w:r>
    <w:r>
      <w:rPr>
        <w:sz w:val="30"/>
        <w:szCs w:val="30"/>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231F0"/>
    <w:rsid w:val="37086715"/>
    <w:rsid w:val="4836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2018-07-24T08:24:28Z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